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jc w:val="center"/>
        <w:rPr>
          <w:b/>
          <w:sz w:val="40"/>
        </w:rPr>
      </w:pPr>
      <w:bookmarkStart w:id="0" w:name="_Ref499654141"/>
      <w:bookmarkEnd w:id="0"/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东航集团集采实施平台</w:t>
      </w:r>
    </w:p>
    <w:p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采购人【招标】指南</w:t>
      </w: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b/>
          <w:sz w:val="32"/>
        </w:rPr>
      </w:pPr>
      <w:bookmarkStart w:id="1" w:name="_Hlk4401820"/>
      <w:r>
        <w:rPr>
          <w:rFonts w:hint="eastAsia"/>
          <w:b/>
          <w:sz w:val="32"/>
        </w:rPr>
        <w:t>2019年03月</w:t>
      </w:r>
    </w:p>
    <w:bookmarkEnd w:id="1"/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客户成功部</w:t>
      </w: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sdt>
      <w:sdtPr>
        <w:rPr>
          <w:lang w:val="zh-CN"/>
        </w:rPr>
        <w:id w:val="98296957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34"/>
          </w:pPr>
          <w:r>
            <w:rPr>
              <w:lang w:val="zh-CN"/>
            </w:rPr>
            <w:t>目录</w:t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"_Toc5032995"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一、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创立项目阶段</w:t>
          </w:r>
          <w:r>
            <w:tab/>
          </w:r>
          <w:r>
            <w:fldChar w:fldCharType="begin"/>
          </w:r>
          <w:r>
            <w:instrText xml:space="preserve"> PAGEREF _Toc5032995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"_Toc5032996" </w:instrText>
          </w:r>
          <w:r>
            <w:fldChar w:fldCharType="separate"/>
          </w:r>
          <w:r>
            <w:rPr>
              <w:rStyle w:val="22"/>
            </w:rPr>
            <w:t>1.</w:t>
          </w:r>
          <w:r>
            <w:rPr>
              <w:rFonts w:eastAsiaTheme="minorEastAsia"/>
              <w:sz w:val="21"/>
            </w:rPr>
            <w:tab/>
          </w:r>
          <w:r>
            <w:rPr>
              <w:rStyle w:val="22"/>
            </w:rPr>
            <w:t>登录信息</w:t>
          </w:r>
          <w:r>
            <w:tab/>
          </w:r>
          <w:r>
            <w:fldChar w:fldCharType="begin"/>
          </w:r>
          <w:r>
            <w:instrText xml:space="preserve"> PAGEREF _Toc5032996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"_Toc5032997" </w:instrText>
          </w:r>
          <w:r>
            <w:fldChar w:fldCharType="separate"/>
          </w:r>
          <w:r>
            <w:rPr>
              <w:rStyle w:val="22"/>
            </w:rPr>
            <w:t>2.</w:t>
          </w:r>
          <w:r>
            <w:rPr>
              <w:rFonts w:eastAsiaTheme="minorEastAsia"/>
              <w:sz w:val="21"/>
            </w:rPr>
            <w:tab/>
          </w:r>
          <w:r>
            <w:rPr>
              <w:rStyle w:val="22"/>
            </w:rPr>
            <w:t>招标项目管理</w:t>
          </w:r>
          <w:r>
            <w:tab/>
          </w:r>
          <w:r>
            <w:fldChar w:fldCharType="begin"/>
          </w:r>
          <w:r>
            <w:instrText xml:space="preserve"> PAGEREF _Toc5032997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"_Toc5032998"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二、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约标阶段</w:t>
          </w:r>
          <w:r>
            <w:tab/>
          </w:r>
          <w:r>
            <w:fldChar w:fldCharType="begin"/>
          </w:r>
          <w:r>
            <w:instrText xml:space="preserve"> PAGEREF _Toc5032998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"_Toc5032999" </w:instrText>
          </w:r>
          <w:r>
            <w:fldChar w:fldCharType="separate"/>
          </w:r>
          <w:r>
            <w:rPr>
              <w:rStyle w:val="22"/>
            </w:rPr>
            <w:t>1.</w:t>
          </w:r>
          <w:r>
            <w:rPr>
              <w:rFonts w:eastAsiaTheme="minorEastAsia"/>
              <w:sz w:val="21"/>
            </w:rPr>
            <w:tab/>
          </w:r>
          <w:r>
            <w:rPr>
              <w:rStyle w:val="22"/>
            </w:rPr>
            <w:t>招标任务</w:t>
          </w:r>
          <w:r>
            <w:tab/>
          </w:r>
          <w:r>
            <w:fldChar w:fldCharType="begin"/>
          </w:r>
          <w:r>
            <w:instrText xml:space="preserve"> PAGEREF _Toc5032999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"_Toc5033000" </w:instrText>
          </w:r>
          <w:r>
            <w:fldChar w:fldCharType="separate"/>
          </w:r>
          <w:r>
            <w:rPr>
              <w:rStyle w:val="22"/>
            </w:rPr>
            <w:t>2.</w:t>
          </w:r>
          <w:r>
            <w:rPr>
              <w:rFonts w:eastAsiaTheme="minorEastAsia"/>
              <w:sz w:val="21"/>
            </w:rPr>
            <w:tab/>
          </w:r>
          <w:r>
            <w:rPr>
              <w:rStyle w:val="22"/>
            </w:rPr>
            <w:t>报名管理</w:t>
          </w:r>
          <w:r>
            <w:tab/>
          </w:r>
          <w:r>
            <w:fldChar w:fldCharType="begin"/>
          </w:r>
          <w:r>
            <w:instrText xml:space="preserve"> PAGEREF _Toc5033000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"_Toc5033001" </w:instrText>
          </w:r>
          <w:r>
            <w:fldChar w:fldCharType="separate"/>
          </w:r>
          <w:r>
            <w:rPr>
              <w:rStyle w:val="22"/>
            </w:rPr>
            <w:t>3.</w:t>
          </w:r>
          <w:r>
            <w:rPr>
              <w:rFonts w:eastAsiaTheme="minorEastAsia"/>
              <w:sz w:val="21"/>
            </w:rPr>
            <w:tab/>
          </w:r>
          <w:r>
            <w:rPr>
              <w:rStyle w:val="22"/>
            </w:rPr>
            <w:t>公开招标与邀请招标区别</w:t>
          </w:r>
          <w:r>
            <w:tab/>
          </w:r>
          <w:r>
            <w:fldChar w:fldCharType="begin"/>
          </w:r>
          <w:r>
            <w:instrText xml:space="preserve"> PAGEREF _Toc5033001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"_Toc5033002"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三、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发标阶段</w:t>
          </w:r>
          <w:r>
            <w:tab/>
          </w:r>
          <w:r>
            <w:fldChar w:fldCharType="begin"/>
          </w:r>
          <w:r>
            <w:instrText xml:space="preserve"> PAGEREF _Toc5033002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"_Toc5033003" </w:instrText>
          </w:r>
          <w:r>
            <w:fldChar w:fldCharType="separate"/>
          </w:r>
          <w:r>
            <w:rPr>
              <w:rStyle w:val="22"/>
            </w:rPr>
            <w:t>1.</w:t>
          </w:r>
          <w:r>
            <w:rPr>
              <w:rFonts w:eastAsiaTheme="minorEastAsia"/>
              <w:sz w:val="21"/>
            </w:rPr>
            <w:tab/>
          </w:r>
          <w:r>
            <w:rPr>
              <w:rStyle w:val="22"/>
            </w:rPr>
            <w:t>发标</w:t>
          </w:r>
          <w:r>
            <w:tab/>
          </w:r>
          <w:r>
            <w:fldChar w:fldCharType="begin"/>
          </w:r>
          <w:r>
            <w:instrText xml:space="preserve"> PAGEREF _Toc5033003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"_Toc5033004"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四、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开标等待</w:t>
          </w:r>
          <w:r>
            <w:tab/>
          </w:r>
          <w:r>
            <w:fldChar w:fldCharType="begin"/>
          </w:r>
          <w:r>
            <w:instrText xml:space="preserve"> PAGEREF _Toc5033004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"_Toc5033005"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五、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疑问与澄清</w:t>
          </w:r>
          <w:r>
            <w:tab/>
          </w:r>
          <w:r>
            <w:fldChar w:fldCharType="begin"/>
          </w:r>
          <w:r>
            <w:instrText xml:space="preserve"> PAGEREF _Toc5033005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"_Toc5033006"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六、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评标阶段</w:t>
          </w:r>
          <w:r>
            <w:tab/>
          </w:r>
          <w:r>
            <w:fldChar w:fldCharType="begin"/>
          </w:r>
          <w:r>
            <w:instrText xml:space="preserve"> PAGEREF _Toc5033006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"_Toc5033007"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七、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评标专家抽取、邀请</w:t>
          </w:r>
          <w:r>
            <w:tab/>
          </w:r>
          <w:r>
            <w:fldChar w:fldCharType="begin"/>
          </w:r>
          <w:r>
            <w:instrText xml:space="preserve"> PAGEREF _Toc5033007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"_Toc5033008" </w:instrText>
          </w:r>
          <w:r>
            <w:fldChar w:fldCharType="separate"/>
          </w:r>
          <w:r>
            <w:rPr>
              <w:rStyle w:val="22"/>
              <w:rFonts w:ascii="宋体" w:hAnsi="宋体" w:eastAsia="宋体"/>
            </w:rPr>
            <w:t>八、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评标阶段</w:t>
          </w:r>
          <w:r>
            <w:tab/>
          </w:r>
          <w:r>
            <w:fldChar w:fldCharType="begin"/>
          </w:r>
          <w:r>
            <w:instrText xml:space="preserve"> PAGEREF _Toc5033008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"_Toc5033009" </w:instrText>
          </w:r>
          <w:r>
            <w:fldChar w:fldCharType="separate"/>
          </w:r>
          <w:r>
            <w:rPr>
              <w:rStyle w:val="22"/>
            </w:rPr>
            <w:t>九、定标阶段</w:t>
          </w:r>
          <w:r>
            <w:tab/>
          </w:r>
          <w:r>
            <w:fldChar w:fldCharType="begin"/>
          </w:r>
          <w:r>
            <w:instrText xml:space="preserve"> PAGEREF _Toc5033009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720"/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"_Toc5033010" </w:instrText>
          </w:r>
          <w:r>
            <w:fldChar w:fldCharType="separate"/>
          </w:r>
          <w:r>
            <w:rPr>
              <w:rStyle w:val="22"/>
            </w:rPr>
            <w:t>十、</w:t>
          </w:r>
          <w:r>
            <w:rPr>
              <w:rFonts w:eastAsiaTheme="minorEastAsia"/>
              <w:b w:val="0"/>
              <w:bCs w:val="0"/>
              <w:sz w:val="21"/>
              <w:szCs w:val="22"/>
            </w:rPr>
            <w:tab/>
          </w:r>
          <w:r>
            <w:rPr>
              <w:rStyle w:val="22"/>
            </w:rPr>
            <w:t>生成合同</w:t>
          </w:r>
          <w:r>
            <w:tab/>
          </w:r>
          <w:r>
            <w:fldChar w:fldCharType="begin"/>
          </w:r>
          <w:r>
            <w:instrText xml:space="preserve"> PAGEREF _Toc5033010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0"/>
            </w:tabs>
            <w:rPr>
              <w:rFonts w:eastAsiaTheme="minorEastAsia"/>
              <w:b w:val="0"/>
              <w:b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"_Toc5033011" </w:instrText>
          </w:r>
          <w:r>
            <w:fldChar w:fldCharType="separate"/>
          </w:r>
          <w:r>
            <w:rPr>
              <w:rStyle w:val="22"/>
            </w:rPr>
            <w:t>十一、存档归档</w:t>
          </w:r>
          <w:r>
            <w:tab/>
          </w:r>
          <w:r>
            <w:fldChar w:fldCharType="begin"/>
          </w:r>
          <w:r>
            <w:instrText xml:space="preserve"> PAGEREF _Toc5033011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b/>
          <w:sz w:val="32"/>
        </w:rPr>
      </w:pPr>
    </w:p>
    <w:p>
      <w:pPr>
        <w:spacing w:line="360" w:lineRule="auto"/>
        <w:jc w:val="center"/>
        <w:rPr>
          <w:rFonts w:hint="eastAsia"/>
          <w:b/>
          <w:sz w:val="32"/>
        </w:rPr>
      </w:pPr>
    </w:p>
    <w:p>
      <w:pPr>
        <w:pStyle w:val="2"/>
        <w:numPr>
          <w:ilvl w:val="0"/>
          <w:numId w:val="1"/>
        </w:numPr>
      </w:pPr>
      <w:bookmarkStart w:id="2" w:name="_Toc502241725"/>
      <w:bookmarkStart w:id="3" w:name="_Toc5032995"/>
      <w:r>
        <w:rPr>
          <w:rFonts w:hint="eastAsia"/>
        </w:rPr>
        <w:t>创立项目阶段</w:t>
      </w:r>
      <w:bookmarkEnd w:id="2"/>
      <w:bookmarkEnd w:id="3"/>
    </w:p>
    <w:p>
      <w:pPr>
        <w:pStyle w:val="4"/>
        <w:numPr>
          <w:ilvl w:val="0"/>
          <w:numId w:val="2"/>
        </w:numPr>
      </w:pPr>
      <w:bookmarkStart w:id="4" w:name="_Toc502241726"/>
      <w:bookmarkStart w:id="5" w:name="_Toc5032996"/>
      <w:r>
        <w:rPr>
          <w:rFonts w:hint="eastAsia"/>
        </w:rPr>
        <w:t>登录信息</w:t>
      </w:r>
      <w:bookmarkEnd w:id="4"/>
      <w:bookmarkEnd w:id="5"/>
    </w:p>
    <w:p>
      <w:pPr>
        <w:pStyle w:val="24"/>
        <w:numPr>
          <w:ilvl w:val="0"/>
          <w:numId w:val="3"/>
        </w:numPr>
        <w:ind w:firstLineChars="0"/>
      </w:pPr>
      <w:bookmarkStart w:id="6" w:name="_Hlk4401949"/>
      <w:r>
        <w:rPr>
          <w:rFonts w:hint="eastAsia"/>
        </w:rPr>
        <w:t>招标人通过账号与密码进行登录；</w:t>
      </w:r>
    </w:p>
    <w:p>
      <w:pPr>
        <w:pStyle w:val="24"/>
        <w:numPr>
          <w:ilvl w:val="0"/>
          <w:numId w:val="3"/>
        </w:numPr>
        <w:ind w:firstLineChars="0"/>
      </w:pPr>
      <w:r>
        <w:rPr>
          <w:rFonts w:hint="eastAsia"/>
        </w:rPr>
        <w:t>账号信息只支持邮箱、手机号；</w:t>
      </w:r>
    </w:p>
    <w:p>
      <w:pPr>
        <w:pStyle w:val="24"/>
        <w:numPr>
          <w:ilvl w:val="0"/>
          <w:numId w:val="3"/>
        </w:numPr>
        <w:ind w:firstLineChars="0"/>
      </w:pPr>
      <w:r>
        <w:rPr>
          <w:rFonts w:hint="eastAsia"/>
        </w:rPr>
        <w:t>如忘记密码，请点击【忘记密码】重置密码</w:t>
      </w:r>
    </w:p>
    <w:bookmarkEnd w:id="6"/>
    <w:p>
      <w:pPr>
        <w:jc w:val="left"/>
        <w:rPr>
          <w:b/>
        </w:rPr>
      </w:pPr>
    </w:p>
    <w:p>
      <w:pPr>
        <w:jc w:val="left"/>
        <w:rPr>
          <w:b/>
        </w:rPr>
      </w:pPr>
      <w:r>
        <w:drawing>
          <wp:inline distT="0" distB="0" distL="114300" distR="114300">
            <wp:extent cx="5266690" cy="2466340"/>
            <wp:effectExtent l="0" t="0" r="6350" b="25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7" w:name="_Toc502241727"/>
      <w:bookmarkStart w:id="8" w:name="_Toc5032997"/>
      <w:r>
        <w:rPr>
          <w:rFonts w:hint="eastAsia"/>
        </w:rPr>
        <w:t>招标项目管理</w:t>
      </w:r>
      <w:bookmarkEnd w:id="7"/>
      <w:bookmarkEnd w:id="8"/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单击【招采系统-</w:t>
      </w:r>
      <w:r>
        <w:rPr>
          <w:rFonts w:hint="eastAsia" w:eastAsia="宋体"/>
        </w:rPr>
        <w:t>采购申请</w:t>
      </w:r>
      <w:r>
        <w:rPr>
          <w:rFonts w:hint="eastAsia"/>
        </w:rPr>
        <w:t>-</w:t>
      </w:r>
      <w:r>
        <w:rPr>
          <w:rFonts w:hint="eastAsia" w:eastAsia="宋体"/>
        </w:rPr>
        <w:t>新建招标项目</w:t>
      </w:r>
      <w:r>
        <w:rPr>
          <w:rFonts w:hint="eastAsia"/>
        </w:rPr>
        <w:t>】该项目管理。</w:t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【招标项目管理】为招标采购第一环节，同时也是必备流程，必须创建单击【新建采购申请】可创立新的招标项目。单击【查看】可查看已创建的招标项目。</w:t>
      </w:r>
    </w:p>
    <w:p>
      <w:pPr>
        <w:jc w:val="left"/>
      </w:pPr>
      <w:r>
        <w:drawing>
          <wp:inline distT="0" distB="0" distL="0" distR="0">
            <wp:extent cx="5270500" cy="192849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 w:eastAsia="宋体"/>
        </w:rPr>
        <w:t>选择招标采购</w:t>
      </w:r>
      <w:r>
        <w:rPr>
          <w:rFonts w:hint="eastAsia"/>
        </w:rPr>
        <w:t>，单击【</w:t>
      </w:r>
      <w:r>
        <w:rPr>
          <w:rFonts w:hint="eastAsia" w:eastAsia="宋体"/>
        </w:rPr>
        <w:t>确认</w:t>
      </w:r>
      <w:r>
        <w:rPr>
          <w:rFonts w:hint="eastAsia"/>
        </w:rPr>
        <w:t>】</w:t>
      </w:r>
    </w:p>
    <w:p>
      <w:pPr>
        <w:jc w:val="left"/>
        <w:rPr>
          <w:rFonts w:eastAsia="宋体"/>
        </w:rPr>
      </w:pPr>
      <w:r>
        <w:drawing>
          <wp:inline distT="0" distB="0" distL="0" distR="0">
            <wp:extent cx="5270500" cy="20802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 w:eastAsia="宋体"/>
        </w:rPr>
        <w:t>选择</w:t>
      </w:r>
      <w:r>
        <w:rPr>
          <w:rFonts w:hint="eastAsia"/>
        </w:rPr>
        <w:t>【</w:t>
      </w:r>
      <w:r>
        <w:rPr>
          <w:rFonts w:hint="eastAsia" w:eastAsia="宋体"/>
        </w:rPr>
        <w:t>招标采购</w:t>
      </w:r>
      <w:r>
        <w:rPr>
          <w:rFonts w:hint="eastAsia"/>
        </w:rPr>
        <w:t>】后，</w:t>
      </w:r>
      <w:r>
        <w:rPr>
          <w:rFonts w:hint="eastAsia" w:eastAsia="宋体"/>
        </w:rPr>
        <w:t>完善此页面信息，点击下方</w:t>
      </w:r>
      <w:r>
        <w:rPr>
          <w:rFonts w:hint="eastAsia"/>
        </w:rPr>
        <w:t>【</w:t>
      </w:r>
      <w:r>
        <w:rPr>
          <w:rFonts w:hint="eastAsia" w:eastAsia="宋体"/>
        </w:rPr>
        <w:t>保存</w:t>
      </w:r>
      <w:r>
        <w:rPr>
          <w:rFonts w:hint="eastAsia"/>
        </w:rPr>
        <w:t>】</w:t>
      </w:r>
      <w:r>
        <w:rPr>
          <w:rFonts w:hint="eastAsia" w:eastAsia="宋体"/>
        </w:rPr>
        <w:t>或</w:t>
      </w:r>
      <w:r>
        <w:rPr>
          <w:rFonts w:hint="eastAsia"/>
        </w:rPr>
        <w:t>【</w:t>
      </w:r>
      <w:r>
        <w:rPr>
          <w:rFonts w:hint="eastAsia" w:eastAsia="宋体"/>
        </w:rPr>
        <w:t>提交</w:t>
      </w:r>
      <w:r>
        <w:rPr>
          <w:rFonts w:hint="eastAsia"/>
        </w:rPr>
        <w:t>】</w:t>
      </w:r>
      <w:r>
        <w:rPr>
          <w:rFonts w:hint="eastAsia" w:eastAsia="宋体"/>
        </w:rPr>
        <w:t>。</w:t>
      </w:r>
    </w:p>
    <w:p>
      <w:pPr>
        <w:pStyle w:val="24"/>
        <w:ind w:left="480" w:firstLine="0" w:firstLineChars="0"/>
        <w:jc w:val="left"/>
      </w:pPr>
      <w:r>
        <w:rPr>
          <w:rFonts w:hint="eastAsia" w:eastAsia="宋体"/>
        </w:rPr>
        <w:t>注：合同类型选择总价合同中标人只能选择一个；合同类型选择单价合同中标人可选择则多个</w:t>
      </w:r>
      <w:r>
        <w:t xml:space="preserve"> </w:t>
      </w:r>
    </w:p>
    <w:p>
      <w:pPr>
        <w:pStyle w:val="24"/>
        <w:ind w:firstLine="0" w:firstLineChars="0"/>
        <w:jc w:val="left"/>
        <w:rPr>
          <w:rFonts w:eastAsia="宋体"/>
        </w:rPr>
      </w:pPr>
      <w:r>
        <w:drawing>
          <wp:inline distT="0" distB="0" distL="0" distR="0">
            <wp:extent cx="5270500" cy="26339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 w:eastAsia="宋体"/>
        </w:rPr>
        <w:t>提交</w:t>
      </w:r>
      <w:r>
        <w:rPr>
          <w:rFonts w:hint="eastAsia"/>
        </w:rPr>
        <w:t>后，</w:t>
      </w:r>
      <w:r>
        <w:rPr>
          <w:rFonts w:hint="eastAsia" w:eastAsia="宋体"/>
        </w:rPr>
        <w:t>点击页面中的</w:t>
      </w:r>
      <w:r>
        <w:rPr>
          <w:rFonts w:hint="eastAsia"/>
        </w:rPr>
        <w:t>【</w:t>
      </w:r>
      <w:r>
        <w:rPr>
          <w:rFonts w:hint="eastAsia" w:eastAsia="宋体"/>
        </w:rPr>
        <w:t>发起采购</w:t>
      </w:r>
      <w:r>
        <w:rPr>
          <w:rFonts w:hint="eastAsia"/>
        </w:rPr>
        <w:t>】</w:t>
      </w:r>
      <w:r>
        <w:rPr>
          <w:rFonts w:hint="eastAsia" w:eastAsia="宋体"/>
        </w:rPr>
        <w:t>。</w:t>
      </w:r>
    </w:p>
    <w:p>
      <w:pPr>
        <w:jc w:val="left"/>
        <w:rPr>
          <w:rFonts w:eastAsia="宋体"/>
        </w:rPr>
      </w:pPr>
      <w:r>
        <w:drawing>
          <wp:inline distT="0" distB="0" distL="0" distR="0">
            <wp:extent cx="5270500" cy="1758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 w:eastAsia="宋体"/>
        </w:rPr>
        <w:t>点击页面中的</w:t>
      </w:r>
      <w:r>
        <w:rPr>
          <w:rFonts w:hint="eastAsia"/>
        </w:rPr>
        <w:t>【</w:t>
      </w:r>
      <w:r>
        <w:rPr>
          <w:rFonts w:hint="eastAsia" w:eastAsia="宋体"/>
        </w:rPr>
        <w:t>发起采购</w:t>
      </w:r>
      <w:r>
        <w:rPr>
          <w:rFonts w:hint="eastAsia"/>
        </w:rPr>
        <w:t>】</w:t>
      </w:r>
      <w:r>
        <w:rPr>
          <w:rFonts w:hint="eastAsia" w:eastAsia="宋体"/>
        </w:rPr>
        <w:t>后，跳转到我的招标列表页；</w:t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【</w:t>
      </w:r>
      <w:r>
        <w:rPr>
          <w:rFonts w:hint="eastAsia" w:eastAsia="宋体"/>
        </w:rPr>
        <w:t>查看详情</w:t>
      </w:r>
      <w:r>
        <w:rPr>
          <w:rFonts w:hint="eastAsia"/>
        </w:rPr>
        <w:t>】</w:t>
      </w:r>
      <w:r>
        <w:rPr>
          <w:rFonts w:hint="eastAsia" w:eastAsia="宋体"/>
        </w:rPr>
        <w:t>中，可以查看此项目信息配置与进度。</w:t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【</w:t>
      </w:r>
      <w:r>
        <w:rPr>
          <w:rFonts w:hint="eastAsia" w:eastAsia="宋体"/>
        </w:rPr>
        <w:t>终止招标</w:t>
      </w:r>
      <w:r>
        <w:rPr>
          <w:rFonts w:hint="eastAsia"/>
        </w:rPr>
        <w:t>】</w:t>
      </w:r>
      <w:r>
        <w:rPr>
          <w:rFonts w:hint="eastAsia" w:eastAsia="宋体"/>
        </w:rPr>
        <w:t>可结束此项目，同时会推送变更公告到首页。</w:t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【</w:t>
      </w:r>
      <w:r>
        <w:rPr>
          <w:rFonts w:hint="eastAsia" w:eastAsia="宋体"/>
        </w:rPr>
        <w:t>继续任务</w:t>
      </w:r>
      <w:r>
        <w:rPr>
          <w:rFonts w:hint="eastAsia"/>
        </w:rPr>
        <w:t>】</w:t>
      </w:r>
      <w:r>
        <w:rPr>
          <w:rFonts w:hint="eastAsia" w:eastAsia="宋体"/>
        </w:rPr>
        <w:t>可对此项目继续操作，配置此项目信息。</w:t>
      </w:r>
    </w:p>
    <w:p>
      <w:pPr>
        <w:jc w:val="left"/>
        <w:rPr>
          <w:rFonts w:eastAsia="宋体"/>
        </w:rPr>
      </w:pPr>
      <w:r>
        <w:drawing>
          <wp:inline distT="0" distB="0" distL="0" distR="0">
            <wp:extent cx="5966460" cy="30861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0355" cy="309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4"/>
        </w:numPr>
        <w:ind w:firstLineChars="0"/>
        <w:jc w:val="left"/>
      </w:pPr>
      <w:r>
        <w:rPr>
          <w:rFonts w:hint="eastAsia" w:eastAsia="宋体"/>
        </w:rPr>
        <w:t>点击页面中的</w:t>
      </w:r>
      <w:r>
        <w:rPr>
          <w:rFonts w:hint="eastAsia"/>
        </w:rPr>
        <w:t>【</w:t>
      </w:r>
      <w:r>
        <w:rPr>
          <w:rFonts w:hint="eastAsia" w:eastAsia="宋体"/>
        </w:rPr>
        <w:t>继续任务</w:t>
      </w:r>
      <w:r>
        <w:rPr>
          <w:rFonts w:hint="eastAsia"/>
        </w:rPr>
        <w:t>】</w:t>
      </w:r>
      <w:r>
        <w:rPr>
          <w:rFonts w:hint="eastAsia" w:eastAsia="宋体"/>
        </w:rPr>
        <w:t>后，可配置此项目报名费及开标方式等信息。</w:t>
      </w:r>
    </w:p>
    <w:p>
      <w:pPr>
        <w:pStyle w:val="24"/>
        <w:numPr>
          <w:ilvl w:val="0"/>
          <w:numId w:val="4"/>
        </w:numPr>
        <w:ind w:firstLineChars="0"/>
        <w:jc w:val="left"/>
        <w:rPr>
          <w:rFonts w:eastAsia="宋体"/>
        </w:rPr>
      </w:pPr>
      <w:r>
        <w:rPr>
          <w:rFonts w:hint="eastAsia" w:eastAsia="宋体"/>
        </w:rPr>
        <w:t>配置完成后，点击下方的</w:t>
      </w:r>
      <w:r>
        <w:rPr>
          <w:rFonts w:hint="eastAsia"/>
        </w:rPr>
        <w:t>【</w:t>
      </w:r>
      <w:r>
        <w:rPr>
          <w:rFonts w:hint="eastAsia" w:eastAsia="宋体"/>
        </w:rPr>
        <w:t>发布</w:t>
      </w:r>
      <w:r>
        <w:rPr>
          <w:rFonts w:hint="eastAsia"/>
        </w:rPr>
        <w:t>】</w:t>
      </w:r>
      <w:r>
        <w:rPr>
          <w:rFonts w:hint="eastAsia" w:eastAsia="宋体"/>
        </w:rPr>
        <w:t>即可。</w:t>
      </w:r>
    </w:p>
    <w:p>
      <w:pPr>
        <w:jc w:val="left"/>
      </w:pPr>
      <w:r>
        <w:drawing>
          <wp:inline distT="0" distB="0" distL="0" distR="0">
            <wp:extent cx="5270500" cy="21939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9" w:name="_Toc502241728"/>
      <w:bookmarkStart w:id="10" w:name="_Toc5032998"/>
      <w:r>
        <w:rPr>
          <w:rFonts w:hint="eastAsia"/>
        </w:rPr>
        <w:t>约标阶段</w:t>
      </w:r>
      <w:bookmarkEnd w:id="9"/>
      <w:bookmarkEnd w:id="10"/>
    </w:p>
    <w:p>
      <w:pPr>
        <w:pStyle w:val="4"/>
        <w:numPr>
          <w:ilvl w:val="0"/>
          <w:numId w:val="5"/>
        </w:numPr>
      </w:pPr>
      <w:bookmarkStart w:id="11" w:name="_Toc5032999"/>
      <w:bookmarkStart w:id="12" w:name="_Toc502241729"/>
      <w:r>
        <w:rPr>
          <w:rFonts w:hint="eastAsia"/>
        </w:rPr>
        <w:t>招标任务</w:t>
      </w:r>
      <w:bookmarkEnd w:id="11"/>
      <w:bookmarkEnd w:id="12"/>
    </w:p>
    <w:p>
      <w:pPr>
        <w:pStyle w:val="24"/>
        <w:numPr>
          <w:ilvl w:val="0"/>
          <w:numId w:val="6"/>
        </w:numPr>
        <w:ind w:firstLineChars="0"/>
      </w:pPr>
      <w:r>
        <w:rPr>
          <w:rFonts w:hint="eastAsia"/>
        </w:rPr>
        <w:t>单击【</w:t>
      </w:r>
      <w:r>
        <w:rPr>
          <w:rFonts w:hint="eastAsia" w:eastAsia="宋体"/>
        </w:rPr>
        <w:t>采购寻源</w:t>
      </w:r>
      <w:r>
        <w:rPr>
          <w:rFonts w:hint="eastAsia"/>
        </w:rPr>
        <w:t>】找到你所创建的任务，单击【继续任务】</w:t>
      </w:r>
    </w:p>
    <w:p>
      <w:pPr>
        <w:pStyle w:val="24"/>
        <w:numPr>
          <w:ilvl w:val="0"/>
          <w:numId w:val="6"/>
        </w:numPr>
        <w:ind w:firstLineChars="0"/>
      </w:pPr>
      <w:r>
        <w:rPr>
          <w:rFonts w:hint="eastAsia" w:eastAsia="宋体"/>
        </w:rPr>
        <w:t>完善此页面信息，可以对该页面信息进行【保存】【生成邀请书】操作；该页面信息填写无误点击【生成邀请书】，页面跳转到招标邀请书详情页，可以【返回修改】【发布】操作。</w:t>
      </w:r>
    </w:p>
    <w:p>
      <w:r>
        <w:drawing>
          <wp:inline distT="0" distB="0" distL="0" distR="0">
            <wp:extent cx="5270500" cy="1762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5615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071370"/>
            <wp:effectExtent l="0" t="0" r="6350" b="12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73875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89225"/>
            <wp:effectExtent l="0" t="0" r="6350" b="825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left="480" w:firstLine="0" w:firstLineChars="0"/>
      </w:pPr>
    </w:p>
    <w:p>
      <w:pPr>
        <w:pStyle w:val="24"/>
        <w:numPr>
          <w:ilvl w:val="0"/>
          <w:numId w:val="7"/>
        </w:numPr>
        <w:ind w:firstLineChars="0"/>
      </w:pPr>
      <w:r>
        <w:rPr>
          <w:rFonts w:hint="eastAsia"/>
        </w:rPr>
        <w:t>如果是邀请招标，可直接进入到邀请页面，页面会显示供应商库里面所有信息。您可以选择需要邀请的供应商，定向发出【邀请函】</w:t>
      </w:r>
    </w:p>
    <w:p>
      <w:pPr>
        <w:pStyle w:val="24"/>
        <w:ind w:left="480" w:firstLine="0" w:firstLineChars="0"/>
      </w:pPr>
      <w:r>
        <w:drawing>
          <wp:inline distT="0" distB="0" distL="0" distR="0">
            <wp:extent cx="5270500" cy="257111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7"/>
        </w:numPr>
        <w:ind w:firstLineChars="0"/>
      </w:pPr>
      <w:r>
        <w:rPr>
          <w:rFonts w:hint="eastAsia"/>
        </w:rPr>
        <w:t>投标人【接受邀请函】后，方可参与投标；请在发出邀请函后，及时与供应商联系，促使他们登录投标系统，尽快接受【邀请函】；系统也会发出短信与邮件通知。</w:t>
      </w:r>
    </w:p>
    <w:p>
      <w:pPr>
        <w:pStyle w:val="24"/>
        <w:ind w:left="480" w:firstLine="0" w:firstLineChars="0"/>
      </w:pPr>
    </w:p>
    <w:p>
      <w:pPr>
        <w:pStyle w:val="4"/>
        <w:numPr>
          <w:ilvl w:val="0"/>
          <w:numId w:val="5"/>
        </w:numPr>
      </w:pPr>
      <w:bookmarkStart w:id="13" w:name="_Toc502241731"/>
      <w:bookmarkStart w:id="14" w:name="_Toc5033000"/>
      <w:r>
        <w:rPr>
          <w:rFonts w:hint="eastAsia"/>
        </w:rPr>
        <w:t>报名管理</w:t>
      </w:r>
      <w:bookmarkEnd w:id="13"/>
      <w:bookmarkEnd w:id="14"/>
    </w:p>
    <w:p>
      <w:pPr>
        <w:pStyle w:val="24"/>
        <w:numPr>
          <w:ilvl w:val="0"/>
          <w:numId w:val="8"/>
        </w:numPr>
        <w:ind w:firstLineChars="0"/>
      </w:pPr>
      <w:r>
        <w:rPr>
          <w:rFonts w:hint="eastAsia"/>
        </w:rPr>
        <w:t>公开报名：投标人自主发现招标公告，通过招标公告点击报名；招标方查看【报名管理-详情】可查看投标人的报名。</w:t>
      </w:r>
    </w:p>
    <w:p>
      <w:pPr>
        <w:pStyle w:val="24"/>
        <w:numPr>
          <w:ilvl w:val="0"/>
          <w:numId w:val="8"/>
        </w:numPr>
        <w:ind w:firstLineChars="0"/>
      </w:pPr>
      <w:r>
        <w:rPr>
          <w:rFonts w:hint="eastAsia"/>
        </w:rPr>
        <w:t>邀请报名：招标方发出邀请后，投标方接受邀请后，报名即成功，同样是在【报名管理-详情处】查看</w:t>
      </w:r>
    </w:p>
    <w:p>
      <w:r>
        <w:drawing>
          <wp:inline distT="0" distB="0" distL="0" distR="0">
            <wp:extent cx="5270500" cy="21640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</w:pPr>
      <w:bookmarkStart w:id="15" w:name="_Toc502241732"/>
      <w:bookmarkStart w:id="16" w:name="_Toc5033001"/>
      <w:r>
        <w:rPr>
          <w:rFonts w:hint="eastAsia"/>
        </w:rPr>
        <w:t>公开招标与邀请招标区别</w:t>
      </w:r>
      <w:bookmarkEnd w:id="15"/>
      <w:bookmarkEnd w:id="16"/>
    </w:p>
    <w:p>
      <w:pPr>
        <w:pStyle w:val="24"/>
        <w:numPr>
          <w:ilvl w:val="0"/>
          <w:numId w:val="9"/>
        </w:numPr>
        <w:ind w:firstLineChars="0"/>
      </w:pPr>
      <w:r>
        <w:rPr>
          <w:rFonts w:hint="eastAsia"/>
        </w:rPr>
        <w:t>如为公开招标，投标人点击招采平台【报名】后，信息展示为投标人来源【自主报名】投标人状态【已同意报名】投标人报名成功。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5270500" cy="1840230"/>
            <wp:effectExtent l="0" t="0" r="635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4"/>
        <w:numPr>
          <w:ilvl w:val="0"/>
          <w:numId w:val="9"/>
        </w:numPr>
        <w:ind w:firstLineChars="0"/>
      </w:pPr>
      <w:r>
        <w:rPr>
          <w:rFonts w:hint="eastAsia"/>
        </w:rPr>
        <w:t>如为邀请招标，投标人点击【接受邀请后】直接报名成功，招标方可在【报名管理】处查看报名情况</w:t>
      </w:r>
    </w:p>
    <w:p/>
    <w:p>
      <w:pPr>
        <w:pStyle w:val="24"/>
        <w:ind w:left="480" w:firstLine="0" w:firstLineChars="0"/>
      </w:pPr>
    </w:p>
    <w:p>
      <w:pPr>
        <w:pStyle w:val="2"/>
        <w:numPr>
          <w:ilvl w:val="0"/>
          <w:numId w:val="1"/>
        </w:numPr>
      </w:pPr>
      <w:bookmarkStart w:id="17" w:name="_Toc502241733"/>
      <w:bookmarkStart w:id="18" w:name="_Toc5033002"/>
      <w:r>
        <w:rPr>
          <w:rFonts w:hint="eastAsia"/>
        </w:rPr>
        <w:t>发标阶段</w:t>
      </w:r>
      <w:bookmarkEnd w:id="17"/>
      <w:bookmarkEnd w:id="18"/>
    </w:p>
    <w:p>
      <w:pPr>
        <w:pStyle w:val="4"/>
        <w:numPr>
          <w:ilvl w:val="0"/>
          <w:numId w:val="10"/>
        </w:numPr>
      </w:pPr>
      <w:bookmarkStart w:id="19" w:name="_Toc502241734"/>
      <w:bookmarkStart w:id="20" w:name="_Toc5033003"/>
      <w:r>
        <w:rPr>
          <w:rFonts w:hint="eastAsia"/>
        </w:rPr>
        <w:t>发标</w:t>
      </w:r>
      <w:bookmarkEnd w:id="19"/>
      <w:bookmarkEnd w:id="20"/>
    </w:p>
    <w:p>
      <w:pPr>
        <w:pStyle w:val="24"/>
        <w:numPr>
          <w:ilvl w:val="0"/>
          <w:numId w:val="11"/>
        </w:numPr>
        <w:ind w:firstLineChars="0"/>
      </w:pPr>
      <w:r>
        <w:rPr>
          <w:rFonts w:hint="eastAsia"/>
        </w:rPr>
        <w:t>邀请书发送后，招标方需要发标配置；请在【评标办法管理处】设置评标办法，该评标办法必须设置，不然无法进入下一环节。</w:t>
      </w:r>
    </w:p>
    <w:p>
      <w:pPr>
        <w:pStyle w:val="24"/>
        <w:numPr>
          <w:ilvl w:val="0"/>
          <w:numId w:val="11"/>
        </w:numPr>
        <w:ind w:firstLineChars="0"/>
      </w:pPr>
      <w:r>
        <w:rPr>
          <w:rFonts w:hint="eastAsia"/>
        </w:rPr>
        <w:t>页面信息填写完整后，可选择【保存】【发布】</w:t>
      </w:r>
    </w:p>
    <w:p>
      <w:pPr>
        <w:pStyle w:val="24"/>
        <w:numPr>
          <w:ilvl w:val="0"/>
          <w:numId w:val="12"/>
        </w:numPr>
        <w:ind w:firstLineChars="0"/>
      </w:pPr>
      <w:r>
        <w:rPr>
          <w:rFonts w:hint="eastAsia"/>
        </w:rPr>
        <w:t>一旦发布后，所有信息均不得更改</w:t>
      </w:r>
      <w:r>
        <w:rPr>
          <w:rFonts w:hint="eastAsia" w:eastAsia="宋体"/>
        </w:rPr>
        <w:t>。</w:t>
      </w:r>
    </w:p>
    <w:p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注：在该界面可以设置供应商报价额度。（控制总价是软控制；控制单价是强控制）</w:t>
      </w:r>
    </w:p>
    <w:p>
      <w:pPr>
        <w:pStyle w:val="24"/>
        <w:ind w:left="480" w:firstLine="0" w:firstLineChars="0"/>
      </w:pPr>
      <w:r>
        <w:drawing>
          <wp:inline distT="0" distB="0" distL="0" distR="0">
            <wp:extent cx="5270500" cy="23964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80" w:firstLine="0" w:firstLineChars="0"/>
      </w:pPr>
      <w:r>
        <w:drawing>
          <wp:inline distT="0" distB="0" distL="0" distR="0">
            <wp:extent cx="5270500" cy="25749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480" w:firstLine="0" w:firstLineChars="0"/>
      </w:pPr>
    </w:p>
    <w:p>
      <w:pPr>
        <w:pStyle w:val="2"/>
        <w:numPr>
          <w:ilvl w:val="0"/>
          <w:numId w:val="1"/>
        </w:numPr>
      </w:pPr>
      <w:bookmarkStart w:id="21" w:name="_Toc5033004"/>
      <w:bookmarkStart w:id="22" w:name="_Toc502241736"/>
      <w:r>
        <w:rPr>
          <w:rFonts w:hint="eastAsia"/>
        </w:rPr>
        <w:t>开标等待</w:t>
      </w:r>
      <w:bookmarkEnd w:id="21"/>
      <w:bookmarkEnd w:id="22"/>
    </w:p>
    <w:p>
      <w:pPr>
        <w:pStyle w:val="24"/>
        <w:numPr>
          <w:ilvl w:val="0"/>
          <w:numId w:val="13"/>
        </w:numPr>
        <w:ind w:firstLineChars="0"/>
      </w:pPr>
      <w:r>
        <w:rPr>
          <w:rFonts w:hint="eastAsia"/>
        </w:rPr>
        <w:t>经办人发出【招标文件】后，进入到开标等待页面。</w:t>
      </w:r>
    </w:p>
    <w:p>
      <w:pPr>
        <w:pStyle w:val="24"/>
        <w:numPr>
          <w:ilvl w:val="0"/>
          <w:numId w:val="13"/>
        </w:numPr>
        <w:ind w:firstLineChars="0"/>
      </w:pPr>
      <w:r>
        <w:rPr>
          <w:rFonts w:hint="eastAsia"/>
        </w:rPr>
        <w:t>此阶段为投标人准备投标文件、上传投标文件的期间，请等待开标。</w:t>
      </w:r>
    </w:p>
    <w:p>
      <w:r>
        <w:drawing>
          <wp:inline distT="0" distB="0" distL="0" distR="0">
            <wp:extent cx="5270500" cy="183388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4"/>
        </w:numPr>
        <w:ind w:firstLineChars="0"/>
      </w:pPr>
      <w:r>
        <w:rPr>
          <w:rFonts w:hint="eastAsia"/>
        </w:rPr>
        <w:t>如果邀请供应商有遗漏的可以再报名管理处【补邀供应商】</w:t>
      </w:r>
    </w:p>
    <w:p>
      <w:pPr>
        <w:pStyle w:val="24"/>
        <w:ind w:left="420" w:firstLine="0" w:firstLineChars="0"/>
      </w:pPr>
    </w:p>
    <w:p>
      <w:pPr>
        <w:pStyle w:val="24"/>
        <w:numPr>
          <w:ilvl w:val="0"/>
          <w:numId w:val="14"/>
        </w:numPr>
        <w:ind w:firstLineChars="0"/>
      </w:pPr>
      <w:r>
        <w:rPr>
          <w:rFonts w:hint="eastAsia"/>
        </w:rPr>
        <w:t>进入开标室，需等待供应商签到及解密操作。</w:t>
      </w:r>
    </w:p>
    <w:p>
      <w:pPr>
        <w:pStyle w:val="24"/>
        <w:ind w:left="420" w:firstLine="0" w:firstLineChars="0"/>
      </w:pPr>
      <w:r>
        <w:rPr>
          <w:rFonts w:hint="eastAsia"/>
        </w:rPr>
        <w:t>注：解密之后可查看供应商报价详情</w:t>
      </w:r>
    </w:p>
    <w:p>
      <w:pPr>
        <w:pStyle w:val="24"/>
        <w:numPr>
          <w:ilvl w:val="0"/>
          <w:numId w:val="14"/>
        </w:numPr>
        <w:ind w:firstLineChars="0"/>
      </w:pPr>
      <w:r>
        <w:rPr>
          <w:rFonts w:hint="eastAsia"/>
        </w:rPr>
        <w:t>开标结束之后点击【下一步】</w:t>
      </w:r>
    </w:p>
    <w:p>
      <w:pPr>
        <w:pStyle w:val="24"/>
        <w:ind w:left="420" w:firstLine="0" w:firstLineChars="0"/>
      </w:pPr>
      <w:r>
        <w:drawing>
          <wp:inline distT="0" distB="0" distL="0" distR="0">
            <wp:extent cx="5270500" cy="258127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3" w:name="_Toc502241737"/>
      <w:bookmarkStart w:id="24" w:name="_Toc5033005"/>
      <w:r>
        <w:rPr>
          <w:rFonts w:hint="eastAsia"/>
        </w:rPr>
        <w:t>疑问与澄清</w:t>
      </w:r>
      <w:bookmarkEnd w:id="23"/>
      <w:bookmarkEnd w:id="24"/>
    </w:p>
    <w:p>
      <w:pPr>
        <w:pStyle w:val="24"/>
        <w:numPr>
          <w:ilvl w:val="0"/>
          <w:numId w:val="15"/>
        </w:numPr>
        <w:ind w:firstLineChars="0"/>
      </w:pPr>
      <w:r>
        <w:rPr>
          <w:rFonts w:hint="eastAsia"/>
        </w:rPr>
        <w:t>投标人发出疑问后，招标人在【招标流程管理-疑问与澄清】模块下进行答疑。</w:t>
      </w:r>
    </w:p>
    <w:p>
      <w:r>
        <w:drawing>
          <wp:inline distT="0" distB="0" distL="0" distR="0">
            <wp:extent cx="5270500" cy="2152015"/>
            <wp:effectExtent l="0" t="0" r="635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0500" cy="3284220"/>
            <wp:effectExtent l="0" t="0" r="1270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5" w:name="_Toc502241738"/>
      <w:bookmarkStart w:id="26" w:name="_Toc5033006"/>
      <w:r>
        <w:rPr>
          <w:rFonts w:hint="eastAsia"/>
        </w:rPr>
        <w:t>评标阶段</w:t>
      </w:r>
      <w:bookmarkEnd w:id="25"/>
      <w:bookmarkEnd w:id="26"/>
    </w:p>
    <w:p>
      <w:pPr>
        <w:pStyle w:val="24"/>
        <w:numPr>
          <w:ilvl w:val="0"/>
          <w:numId w:val="16"/>
        </w:numPr>
        <w:ind w:firstLineChars="0"/>
      </w:pPr>
      <w:r>
        <w:rPr>
          <w:rFonts w:hint="eastAsia"/>
        </w:rPr>
        <w:t>在【招标任务】处点击【继续任务】进入开标等待页面</w:t>
      </w:r>
    </w:p>
    <w:p>
      <w:r>
        <w:drawing>
          <wp:inline distT="0" distB="0" distL="0" distR="0">
            <wp:extent cx="5270500" cy="187198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4"/>
        <w:numPr>
          <w:ilvl w:val="0"/>
          <w:numId w:val="16"/>
        </w:numPr>
        <w:ind w:firstLineChars="0"/>
      </w:pPr>
      <w:r>
        <w:rPr>
          <w:rFonts w:hint="eastAsia"/>
        </w:rPr>
        <w:t>进入开标大厅，等待投标人解密，投标人全部解密成功后，招标人可手动点击【结束开标】结束开标，开标时间结束后，点击【下一步】开始进入评标阶段。</w:t>
      </w:r>
    </w:p>
    <w:p>
      <w:r>
        <w:drawing>
          <wp:inline distT="0" distB="0" distL="0" distR="0">
            <wp:extent cx="5270500" cy="24314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525" cy="24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0500" cy="242506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</w:pPr>
      <w:bookmarkStart w:id="27" w:name="_Toc5033007"/>
      <w:bookmarkStart w:id="28" w:name="_Toc502241739"/>
      <w:r>
        <w:rPr>
          <w:rFonts w:hint="eastAsia"/>
        </w:rPr>
        <w:t>评标专家抽取、邀请</w:t>
      </w:r>
      <w:bookmarkEnd w:id="27"/>
      <w:bookmarkEnd w:id="28"/>
    </w:p>
    <w:p>
      <w:pPr>
        <w:pStyle w:val="24"/>
        <w:numPr>
          <w:ilvl w:val="0"/>
          <w:numId w:val="16"/>
        </w:numPr>
        <w:ind w:firstLineChars="0"/>
        <w:jc w:val="left"/>
      </w:pPr>
      <w:r>
        <w:rPr>
          <w:rFonts w:hint="eastAsia"/>
        </w:rPr>
        <w:t>进入评标阶段，邀请专家既可以在招标任务创建后邀请专家，也可以在开标结束后现场【抽取专家】【专家答疑】</w:t>
      </w:r>
    </w:p>
    <w:p>
      <w:pPr>
        <w:jc w:val="left"/>
        <w:rPr>
          <w:b/>
          <w:bCs/>
          <w:kern w:val="44"/>
          <w:sz w:val="44"/>
          <w:szCs w:val="44"/>
        </w:rPr>
      </w:pPr>
      <w:r>
        <w:drawing>
          <wp:inline distT="0" distB="0" distL="0" distR="0">
            <wp:extent cx="5270500" cy="236918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6"/>
        </w:numPr>
        <w:ind w:firstLineChars="0"/>
        <w:jc w:val="left"/>
      </w:pPr>
      <w:r>
        <w:rPr>
          <w:rFonts w:hint="eastAsia" w:eastAsia="宋体"/>
        </w:rPr>
        <w:t>进入抽取专家页面，可以通过【指定条件抽取】和【选择】方式抽取专家</w:t>
      </w:r>
    </w:p>
    <w:p>
      <w:pPr>
        <w:pStyle w:val="24"/>
        <w:ind w:left="480" w:firstLine="0" w:firstLineChars="0"/>
        <w:jc w:val="left"/>
      </w:pPr>
      <w:r>
        <w:rPr>
          <w:rFonts w:hint="eastAsia" w:eastAsia="宋体"/>
        </w:rPr>
        <w:t>注意：专家若回避，经办人可在此页面重新抽取或选择专家</w:t>
      </w:r>
    </w:p>
    <w:p>
      <w:pPr>
        <w:jc w:val="left"/>
        <w:rPr>
          <w:rFonts w:eastAsia="宋体"/>
          <w:b/>
          <w:bCs/>
          <w:kern w:val="44"/>
          <w:sz w:val="44"/>
          <w:szCs w:val="44"/>
        </w:rPr>
      </w:pPr>
      <w:r>
        <w:drawing>
          <wp:inline distT="0" distB="0" distL="0" distR="0">
            <wp:extent cx="5270500" cy="1473200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eastAsia="宋体"/>
          <w:b/>
          <w:bCs/>
          <w:kern w:val="44"/>
          <w:sz w:val="44"/>
          <w:szCs w:val="44"/>
        </w:rPr>
      </w:pPr>
      <w:r>
        <w:drawing>
          <wp:inline distT="0" distB="0" distL="114300" distR="114300">
            <wp:extent cx="5262880" cy="2529205"/>
            <wp:effectExtent l="0" t="0" r="10160" b="6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29" w:name="_Toc502241740"/>
      <w:bookmarkStart w:id="30" w:name="_Toc5033008"/>
      <w:r>
        <w:rPr>
          <w:rFonts w:hint="eastAsia"/>
        </w:rPr>
        <w:t>评标阶段</w:t>
      </w:r>
      <w:bookmarkEnd w:id="29"/>
      <w:bookmarkEnd w:id="30"/>
    </w:p>
    <w:p>
      <w:pPr>
        <w:pStyle w:val="24"/>
        <w:numPr>
          <w:ilvl w:val="0"/>
          <w:numId w:val="17"/>
        </w:numPr>
        <w:ind w:firstLineChars="0"/>
        <w:jc w:val="left"/>
      </w:pPr>
      <w:r>
        <w:rPr>
          <w:rFonts w:hint="eastAsia"/>
        </w:rPr>
        <w:t>招标人使用【账号和密码】登录系统，在【招标任务-继续任务】</w:t>
      </w:r>
    </w:p>
    <w:p>
      <w:pPr>
        <w:pStyle w:val="24"/>
        <w:numPr>
          <w:ilvl w:val="0"/>
          <w:numId w:val="17"/>
        </w:numPr>
        <w:ind w:firstLineChars="0"/>
        <w:jc w:val="left"/>
      </w:pPr>
      <w:r>
        <w:rPr>
          <w:rFonts w:hint="eastAsia"/>
        </w:rPr>
        <w:t>专家评标流程请参看【评标专家指南】再次不赘述。评标专家评标结束后，招标人进入系统，查看下载评标报告！</w:t>
      </w:r>
    </w:p>
    <w:p>
      <w:pPr>
        <w:jc w:val="left"/>
      </w:pPr>
      <w:r>
        <w:drawing>
          <wp:inline distT="0" distB="0" distL="114300" distR="114300">
            <wp:extent cx="5266690" cy="2038350"/>
            <wp:effectExtent l="0" t="0" r="6350" b="381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24"/>
        <w:numPr>
          <w:ilvl w:val="0"/>
          <w:numId w:val="17"/>
        </w:numPr>
        <w:ind w:firstLineChars="0"/>
        <w:jc w:val="left"/>
      </w:pPr>
      <w:r>
        <w:rPr>
          <w:rFonts w:hint="eastAsia"/>
        </w:rPr>
        <w:t>点击【下载】按钮，查看评标报告，单击【结束评标】</w:t>
      </w:r>
    </w:p>
    <w:p>
      <w:pPr>
        <w:pStyle w:val="24"/>
        <w:ind w:left="480" w:firstLine="0" w:firstLineChars="0"/>
        <w:jc w:val="left"/>
      </w:pPr>
      <w:r>
        <w:rPr>
          <w:rFonts w:hint="eastAsia"/>
        </w:rPr>
        <w:t>注意：若组长没有提交评标报告，此处无法下载评标报告。</w:t>
      </w:r>
    </w:p>
    <w:p>
      <w:pPr>
        <w:jc w:val="left"/>
      </w:pPr>
      <w:r>
        <w:drawing>
          <wp:inline distT="0" distB="0" distL="114300" distR="114300">
            <wp:extent cx="5257800" cy="2515870"/>
            <wp:effectExtent l="0" t="0" r="0" b="1397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1" w:name="_Toc5033009"/>
      <w:r>
        <w:rPr>
          <w:rFonts w:hint="eastAsia"/>
        </w:rPr>
        <w:t>九、定标阶段</w:t>
      </w:r>
      <w:bookmarkEnd w:id="31"/>
    </w:p>
    <w:p>
      <w:pPr>
        <w:pStyle w:val="24"/>
        <w:numPr>
          <w:ilvl w:val="0"/>
          <w:numId w:val="18"/>
        </w:numPr>
        <w:ind w:firstLine="0" w:firstLineChars="0"/>
        <w:jc w:val="left"/>
      </w:pPr>
      <w:r>
        <w:rPr>
          <w:rFonts w:hint="eastAsia"/>
        </w:rPr>
        <w:t>中标候选人，请勾选选择处【方形】按钮，推荐候选人，候选人可推荐多人</w:t>
      </w:r>
    </w:p>
    <w:p>
      <w:pPr>
        <w:pStyle w:val="24"/>
        <w:ind w:left="480" w:firstLine="0" w:firstLineChars="0"/>
        <w:jc w:val="left"/>
      </w:pPr>
      <w:r>
        <w:rPr>
          <w:rFonts w:hint="eastAsia"/>
        </w:rPr>
        <w:t>注：单价采购可以选择多个中标人</w:t>
      </w:r>
    </w:p>
    <w:p>
      <w:pPr>
        <w:jc w:val="left"/>
      </w:pPr>
      <w:r>
        <w:drawing>
          <wp:inline distT="0" distB="0" distL="0" distR="0">
            <wp:extent cx="5270500" cy="203962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中标公示期</w:t>
      </w:r>
    </w:p>
    <w:p>
      <w:pPr>
        <w:jc w:val="left"/>
      </w:pPr>
      <w:r>
        <w:rPr>
          <w:rFonts w:hint="eastAsia"/>
        </w:rPr>
        <w:t>根据电子招投标法律法规规定：中标候选人公示期不得少于 3日；</w:t>
      </w:r>
    </w:p>
    <w:p>
      <w:pPr>
        <w:jc w:val="left"/>
      </w:pPr>
    </w:p>
    <w:p>
      <w:pPr>
        <w:pStyle w:val="24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确定中标人</w:t>
      </w:r>
    </w:p>
    <w:p>
      <w:pPr>
        <w:jc w:val="left"/>
      </w:pPr>
      <w:r>
        <w:rPr>
          <w:rFonts w:hint="eastAsia"/>
        </w:rPr>
        <w:t>中标公示期经过（3天后），可以确定中标人。</w:t>
      </w:r>
    </w:p>
    <w:p>
      <w:pPr>
        <w:jc w:val="left"/>
      </w:pPr>
      <w:r>
        <w:drawing>
          <wp:inline distT="0" distB="0" distL="0" distR="0">
            <wp:extent cx="5270500" cy="16129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ind w:firstLineChars="0"/>
        <w:jc w:val="left"/>
      </w:pPr>
      <w:r>
        <w:rPr>
          <w:rFonts w:hint="eastAsia"/>
        </w:rPr>
        <w:t>发送中标通知书和中标结果通知书</w:t>
      </w:r>
    </w:p>
    <w:p>
      <w:pPr>
        <w:jc w:val="left"/>
      </w:pPr>
      <w:r>
        <w:drawing>
          <wp:inline distT="0" distB="0" distL="0" distR="0">
            <wp:extent cx="5270500" cy="194564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1696085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9"/>
        </w:numPr>
      </w:pPr>
      <w:bookmarkStart w:id="32" w:name="_Toc5033010"/>
      <w:r>
        <w:rPr>
          <w:rFonts w:hint="eastAsia"/>
        </w:rPr>
        <w:t>生成合同</w:t>
      </w:r>
      <w:bookmarkEnd w:id="32"/>
    </w:p>
    <w:p>
      <w:r>
        <w:rPr>
          <w:rFonts w:hint="eastAsia"/>
        </w:rPr>
        <w:t>招标方可在合同管理下查看合同详情</w:t>
      </w:r>
    </w:p>
    <w:p>
      <w:pPr>
        <w:jc w:val="left"/>
      </w:pPr>
      <w:r>
        <w:drawing>
          <wp:inline distT="0" distB="0" distL="114300" distR="114300">
            <wp:extent cx="5267960" cy="1513205"/>
            <wp:effectExtent l="0" t="0" r="5080" b="1079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0500" cy="156845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3" w:name="_Toc5033011"/>
      <w:r>
        <w:rPr>
          <w:rFonts w:hint="eastAsia"/>
        </w:rPr>
        <w:t>十一、存档归档</w:t>
      </w:r>
      <w:bookmarkEnd w:id="33"/>
    </w:p>
    <w:p>
      <w:pPr>
        <w:pStyle w:val="24"/>
        <w:numPr>
          <w:ilvl w:val="0"/>
          <w:numId w:val="18"/>
        </w:numPr>
        <w:ind w:firstLineChars="0"/>
      </w:pPr>
      <w:r>
        <w:rPr>
          <w:rFonts w:hint="eastAsia"/>
        </w:rPr>
        <w:t>所有已完成的项目会同步至存档归档模块。</w:t>
      </w:r>
    </w:p>
    <w:p>
      <w:bookmarkStart w:id="34" w:name="_GoBack"/>
      <w:r>
        <w:drawing>
          <wp:inline distT="0" distB="0" distL="0" distR="0">
            <wp:extent cx="5270500" cy="172339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sectPr>
      <w:headerReference r:id="rId3" w:type="default"/>
      <w:footerReference r:id="rId4" w:type="default"/>
      <w:footerReference r:id="rId5" w:type="even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22</w:t>
    </w:r>
    <w:r>
      <w:rPr>
        <w:rStyle w:val="21"/>
      </w:rPr>
      <w:fldChar w:fldCharType="end"/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hint="eastAsia"/>
      </w:rPr>
      <w:t>201</w:t>
    </w:r>
    <w:r>
      <w:t>9</w:t>
    </w:r>
    <w:r>
      <w:rPr>
        <w:rFonts w:hint="eastAsia"/>
      </w:rPr>
      <w:t>年</w:t>
    </w:r>
    <w:r>
      <w:t>03</w:t>
    </w:r>
    <w:r>
      <w:rPr>
        <w:rFonts w:hint="eastAsia"/>
      </w:rPr>
      <w:t>月</w:t>
    </w:r>
    <w:r>
      <w:ptab w:relativeTo="margin" w:alignment="center" w:leader="none"/>
    </w:r>
    <w:r>
      <w:rPr>
        <w:rFonts w:hint="eastAsia"/>
      </w:rPr>
      <w:t>采购人招标指南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41207"/>
    <w:multiLevelType w:val="multilevel"/>
    <w:tmpl w:val="00C41207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">
    <w:nsid w:val="03D5422D"/>
    <w:multiLevelType w:val="multilevel"/>
    <w:tmpl w:val="03D5422D"/>
    <w:lvl w:ilvl="0" w:tentative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0720E5"/>
    <w:multiLevelType w:val="multilevel"/>
    <w:tmpl w:val="040720E5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0C1835EF"/>
    <w:multiLevelType w:val="multilevel"/>
    <w:tmpl w:val="0C1835E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716AB5"/>
    <w:multiLevelType w:val="multilevel"/>
    <w:tmpl w:val="0D716AB5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5">
    <w:nsid w:val="133A4A17"/>
    <w:multiLevelType w:val="multilevel"/>
    <w:tmpl w:val="133A4A17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6">
    <w:nsid w:val="16B554A8"/>
    <w:multiLevelType w:val="multilevel"/>
    <w:tmpl w:val="16B554A8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7">
    <w:nsid w:val="279955DE"/>
    <w:multiLevelType w:val="multilevel"/>
    <w:tmpl w:val="279955DE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8">
    <w:nsid w:val="3B881AA7"/>
    <w:multiLevelType w:val="multilevel"/>
    <w:tmpl w:val="3B881AA7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9">
    <w:nsid w:val="3BDE62A2"/>
    <w:multiLevelType w:val="multilevel"/>
    <w:tmpl w:val="3BDE62A2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0">
    <w:nsid w:val="41EC3E88"/>
    <w:multiLevelType w:val="multilevel"/>
    <w:tmpl w:val="41EC3E88"/>
    <w:lvl w:ilvl="0" w:tentative="0">
      <w:start w:val="1"/>
      <w:numFmt w:val="chineseCountingThousand"/>
      <w:lvlText w:val="%1、"/>
      <w:lvlJc w:val="left"/>
      <w:pPr>
        <w:ind w:left="480" w:hanging="48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104CB7"/>
    <w:multiLevelType w:val="multilevel"/>
    <w:tmpl w:val="44104CB7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2">
    <w:nsid w:val="444F3B43"/>
    <w:multiLevelType w:val="multilevel"/>
    <w:tmpl w:val="444F3B43"/>
    <w:lvl w:ilvl="0" w:tentative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FC5CFE"/>
    <w:multiLevelType w:val="multilevel"/>
    <w:tmpl w:val="47FC5CFE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4">
    <w:nsid w:val="52C93A32"/>
    <w:multiLevelType w:val="multilevel"/>
    <w:tmpl w:val="52C93A32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5">
    <w:nsid w:val="533E4BA8"/>
    <w:multiLevelType w:val="multilevel"/>
    <w:tmpl w:val="533E4BA8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16">
    <w:nsid w:val="6D8D0A25"/>
    <w:multiLevelType w:val="multilevel"/>
    <w:tmpl w:val="6D8D0A25"/>
    <w:lvl w:ilvl="0" w:tentative="0">
      <w:start w:val="1"/>
      <w:numFmt w:val="decimal"/>
      <w:lvlText w:val="%1.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FA31130"/>
    <w:multiLevelType w:val="multilevel"/>
    <w:tmpl w:val="6FA3113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8">
    <w:nsid w:val="7FB46107"/>
    <w:multiLevelType w:val="multilevel"/>
    <w:tmpl w:val="7FB46107"/>
    <w:lvl w:ilvl="0" w:tentative="0">
      <w:start w:val="10"/>
      <w:numFmt w:val="japaneseCounting"/>
      <w:lvlText w:val="%1、"/>
      <w:lvlJc w:val="left"/>
      <w:pPr>
        <w:ind w:left="888" w:hanging="88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0"/>
  </w:num>
  <w:num w:numId="5">
    <w:abstractNumId w:val="12"/>
  </w:num>
  <w:num w:numId="6">
    <w:abstractNumId w:val="7"/>
  </w:num>
  <w:num w:numId="7">
    <w:abstractNumId w:val="9"/>
  </w:num>
  <w:num w:numId="8">
    <w:abstractNumId w:val="5"/>
  </w:num>
  <w:num w:numId="9">
    <w:abstractNumId w:val="3"/>
  </w:num>
  <w:num w:numId="10">
    <w:abstractNumId w:val="16"/>
  </w:num>
  <w:num w:numId="11">
    <w:abstractNumId w:val="11"/>
  </w:num>
  <w:num w:numId="12">
    <w:abstractNumId w:val="8"/>
  </w:num>
  <w:num w:numId="13">
    <w:abstractNumId w:val="6"/>
  </w:num>
  <w:num w:numId="14">
    <w:abstractNumId w:val="17"/>
  </w:num>
  <w:num w:numId="15">
    <w:abstractNumId w:val="14"/>
  </w:num>
  <w:num w:numId="16">
    <w:abstractNumId w:val="2"/>
  </w:num>
  <w:num w:numId="17">
    <w:abstractNumId w:val="15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4C"/>
    <w:rsid w:val="00003612"/>
    <w:rsid w:val="00023DA5"/>
    <w:rsid w:val="0003093E"/>
    <w:rsid w:val="00030C7D"/>
    <w:rsid w:val="00033839"/>
    <w:rsid w:val="0006734C"/>
    <w:rsid w:val="00072A53"/>
    <w:rsid w:val="00080058"/>
    <w:rsid w:val="00084636"/>
    <w:rsid w:val="00091C50"/>
    <w:rsid w:val="00097D06"/>
    <w:rsid w:val="000B4425"/>
    <w:rsid w:val="000B687C"/>
    <w:rsid w:val="000C4A8F"/>
    <w:rsid w:val="000C4FB8"/>
    <w:rsid w:val="000E6684"/>
    <w:rsid w:val="000F3C5E"/>
    <w:rsid w:val="00100A09"/>
    <w:rsid w:val="001077CC"/>
    <w:rsid w:val="00117CF3"/>
    <w:rsid w:val="0012638B"/>
    <w:rsid w:val="001354E6"/>
    <w:rsid w:val="001625BF"/>
    <w:rsid w:val="00167CF2"/>
    <w:rsid w:val="00177B28"/>
    <w:rsid w:val="001A4DFA"/>
    <w:rsid w:val="001B2B38"/>
    <w:rsid w:val="001C2A0F"/>
    <w:rsid w:val="001C5248"/>
    <w:rsid w:val="001D2297"/>
    <w:rsid w:val="001E4A2E"/>
    <w:rsid w:val="001F5D1A"/>
    <w:rsid w:val="001F66CA"/>
    <w:rsid w:val="00207ACB"/>
    <w:rsid w:val="00207F43"/>
    <w:rsid w:val="00226E07"/>
    <w:rsid w:val="00232E1E"/>
    <w:rsid w:val="00245580"/>
    <w:rsid w:val="0026463A"/>
    <w:rsid w:val="002671A3"/>
    <w:rsid w:val="002A0BA7"/>
    <w:rsid w:val="002A3ED6"/>
    <w:rsid w:val="002A467D"/>
    <w:rsid w:val="002B30B3"/>
    <w:rsid w:val="002F2F79"/>
    <w:rsid w:val="002F63FD"/>
    <w:rsid w:val="0033231A"/>
    <w:rsid w:val="00335A1D"/>
    <w:rsid w:val="00361061"/>
    <w:rsid w:val="0037059C"/>
    <w:rsid w:val="003731F6"/>
    <w:rsid w:val="003766F0"/>
    <w:rsid w:val="00382340"/>
    <w:rsid w:val="0039310B"/>
    <w:rsid w:val="003A04BC"/>
    <w:rsid w:val="003A59CB"/>
    <w:rsid w:val="003B204E"/>
    <w:rsid w:val="003B67FA"/>
    <w:rsid w:val="003B6E41"/>
    <w:rsid w:val="003B6EB9"/>
    <w:rsid w:val="003C53AE"/>
    <w:rsid w:val="003D6994"/>
    <w:rsid w:val="003E3799"/>
    <w:rsid w:val="003E3D63"/>
    <w:rsid w:val="003E7424"/>
    <w:rsid w:val="0041042C"/>
    <w:rsid w:val="00410493"/>
    <w:rsid w:val="004104ED"/>
    <w:rsid w:val="004228D3"/>
    <w:rsid w:val="004249BE"/>
    <w:rsid w:val="004701DF"/>
    <w:rsid w:val="004807FD"/>
    <w:rsid w:val="004B4819"/>
    <w:rsid w:val="004B589E"/>
    <w:rsid w:val="004D5607"/>
    <w:rsid w:val="004D5869"/>
    <w:rsid w:val="004D5D76"/>
    <w:rsid w:val="004E0F09"/>
    <w:rsid w:val="004F1BA0"/>
    <w:rsid w:val="004F3226"/>
    <w:rsid w:val="004F3B6E"/>
    <w:rsid w:val="00503F13"/>
    <w:rsid w:val="0052564D"/>
    <w:rsid w:val="00536CA6"/>
    <w:rsid w:val="00552705"/>
    <w:rsid w:val="0055427A"/>
    <w:rsid w:val="0056460C"/>
    <w:rsid w:val="00565BA8"/>
    <w:rsid w:val="005705F6"/>
    <w:rsid w:val="005708E0"/>
    <w:rsid w:val="00574117"/>
    <w:rsid w:val="00582925"/>
    <w:rsid w:val="005921C4"/>
    <w:rsid w:val="005A2114"/>
    <w:rsid w:val="005D150F"/>
    <w:rsid w:val="005D2DF2"/>
    <w:rsid w:val="005D6400"/>
    <w:rsid w:val="005D6605"/>
    <w:rsid w:val="005E7963"/>
    <w:rsid w:val="00605D2A"/>
    <w:rsid w:val="00620549"/>
    <w:rsid w:val="00621F5F"/>
    <w:rsid w:val="00631109"/>
    <w:rsid w:val="006320CF"/>
    <w:rsid w:val="00637B22"/>
    <w:rsid w:val="0068568B"/>
    <w:rsid w:val="00695355"/>
    <w:rsid w:val="006974BA"/>
    <w:rsid w:val="006A592B"/>
    <w:rsid w:val="006E0F33"/>
    <w:rsid w:val="006E3E37"/>
    <w:rsid w:val="006F6323"/>
    <w:rsid w:val="007439F4"/>
    <w:rsid w:val="00747A4F"/>
    <w:rsid w:val="00750DCE"/>
    <w:rsid w:val="00755B21"/>
    <w:rsid w:val="0076602A"/>
    <w:rsid w:val="0078721D"/>
    <w:rsid w:val="0078790B"/>
    <w:rsid w:val="007A3E0E"/>
    <w:rsid w:val="007B0FE5"/>
    <w:rsid w:val="007C2C73"/>
    <w:rsid w:val="007C7B48"/>
    <w:rsid w:val="007D6214"/>
    <w:rsid w:val="007E5259"/>
    <w:rsid w:val="007F0DE1"/>
    <w:rsid w:val="008049DD"/>
    <w:rsid w:val="008065E8"/>
    <w:rsid w:val="0082389C"/>
    <w:rsid w:val="0083395F"/>
    <w:rsid w:val="0083429C"/>
    <w:rsid w:val="00834C3A"/>
    <w:rsid w:val="0084117E"/>
    <w:rsid w:val="008532B5"/>
    <w:rsid w:val="00865E19"/>
    <w:rsid w:val="00872F95"/>
    <w:rsid w:val="008801DA"/>
    <w:rsid w:val="008821CE"/>
    <w:rsid w:val="0088331F"/>
    <w:rsid w:val="00884B0D"/>
    <w:rsid w:val="00891787"/>
    <w:rsid w:val="0089223C"/>
    <w:rsid w:val="008B76EB"/>
    <w:rsid w:val="008C60C9"/>
    <w:rsid w:val="008F1623"/>
    <w:rsid w:val="008F1C26"/>
    <w:rsid w:val="00903572"/>
    <w:rsid w:val="009042DB"/>
    <w:rsid w:val="00916195"/>
    <w:rsid w:val="009173A0"/>
    <w:rsid w:val="009173DE"/>
    <w:rsid w:val="00921A16"/>
    <w:rsid w:val="00922599"/>
    <w:rsid w:val="00946C3F"/>
    <w:rsid w:val="00955CE9"/>
    <w:rsid w:val="0096120C"/>
    <w:rsid w:val="0096335F"/>
    <w:rsid w:val="009776B0"/>
    <w:rsid w:val="009778FA"/>
    <w:rsid w:val="009922AD"/>
    <w:rsid w:val="00993C5A"/>
    <w:rsid w:val="009A5A9B"/>
    <w:rsid w:val="009B0FAA"/>
    <w:rsid w:val="009B2279"/>
    <w:rsid w:val="009C4A79"/>
    <w:rsid w:val="009E0814"/>
    <w:rsid w:val="009F0610"/>
    <w:rsid w:val="009F2F1E"/>
    <w:rsid w:val="00A16CE2"/>
    <w:rsid w:val="00A17E46"/>
    <w:rsid w:val="00A242EF"/>
    <w:rsid w:val="00A26F91"/>
    <w:rsid w:val="00A52FF6"/>
    <w:rsid w:val="00A704E2"/>
    <w:rsid w:val="00A85B7B"/>
    <w:rsid w:val="00A860BF"/>
    <w:rsid w:val="00A86482"/>
    <w:rsid w:val="00A92D01"/>
    <w:rsid w:val="00A9620E"/>
    <w:rsid w:val="00AB5803"/>
    <w:rsid w:val="00AC359D"/>
    <w:rsid w:val="00AD7A3C"/>
    <w:rsid w:val="00AE10E3"/>
    <w:rsid w:val="00B161E1"/>
    <w:rsid w:val="00B17BF2"/>
    <w:rsid w:val="00B32916"/>
    <w:rsid w:val="00B33C37"/>
    <w:rsid w:val="00B45CBD"/>
    <w:rsid w:val="00B56F68"/>
    <w:rsid w:val="00B6080A"/>
    <w:rsid w:val="00B659EC"/>
    <w:rsid w:val="00B7448A"/>
    <w:rsid w:val="00B93FBC"/>
    <w:rsid w:val="00BA17A2"/>
    <w:rsid w:val="00BA2E6D"/>
    <w:rsid w:val="00BA2F23"/>
    <w:rsid w:val="00BC41AB"/>
    <w:rsid w:val="00BC5FCD"/>
    <w:rsid w:val="00BD593E"/>
    <w:rsid w:val="00BF4F47"/>
    <w:rsid w:val="00C460D3"/>
    <w:rsid w:val="00C7682D"/>
    <w:rsid w:val="00CC3769"/>
    <w:rsid w:val="00CE1CE4"/>
    <w:rsid w:val="00CE5F47"/>
    <w:rsid w:val="00D00CA5"/>
    <w:rsid w:val="00D05CB3"/>
    <w:rsid w:val="00D12098"/>
    <w:rsid w:val="00D140AF"/>
    <w:rsid w:val="00D47A3D"/>
    <w:rsid w:val="00D51D6F"/>
    <w:rsid w:val="00D60C55"/>
    <w:rsid w:val="00D860AA"/>
    <w:rsid w:val="00D86D1C"/>
    <w:rsid w:val="00D92AF6"/>
    <w:rsid w:val="00D93FCF"/>
    <w:rsid w:val="00D944BE"/>
    <w:rsid w:val="00DA4B50"/>
    <w:rsid w:val="00DB410D"/>
    <w:rsid w:val="00DE1B55"/>
    <w:rsid w:val="00E06722"/>
    <w:rsid w:val="00E12D2F"/>
    <w:rsid w:val="00E21ACB"/>
    <w:rsid w:val="00E258D0"/>
    <w:rsid w:val="00E27872"/>
    <w:rsid w:val="00E31874"/>
    <w:rsid w:val="00E3680A"/>
    <w:rsid w:val="00E36C9A"/>
    <w:rsid w:val="00E443BE"/>
    <w:rsid w:val="00E451AB"/>
    <w:rsid w:val="00E468CA"/>
    <w:rsid w:val="00E46F46"/>
    <w:rsid w:val="00E50BE7"/>
    <w:rsid w:val="00E57C91"/>
    <w:rsid w:val="00E75D4F"/>
    <w:rsid w:val="00E8251A"/>
    <w:rsid w:val="00E828CE"/>
    <w:rsid w:val="00E9626D"/>
    <w:rsid w:val="00EA333D"/>
    <w:rsid w:val="00EA3EC0"/>
    <w:rsid w:val="00EB0A42"/>
    <w:rsid w:val="00EB0B00"/>
    <w:rsid w:val="00EC1DC8"/>
    <w:rsid w:val="00EC22E4"/>
    <w:rsid w:val="00ED51EA"/>
    <w:rsid w:val="00F35667"/>
    <w:rsid w:val="00F372F2"/>
    <w:rsid w:val="00F42E80"/>
    <w:rsid w:val="00F45E9C"/>
    <w:rsid w:val="00F5599F"/>
    <w:rsid w:val="00F64830"/>
    <w:rsid w:val="00F818D0"/>
    <w:rsid w:val="00F93F0C"/>
    <w:rsid w:val="00FA165F"/>
    <w:rsid w:val="00FA1F9F"/>
    <w:rsid w:val="00FD07A2"/>
    <w:rsid w:val="03C303DB"/>
    <w:rsid w:val="1DF80020"/>
    <w:rsid w:val="35B2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0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Document Map"/>
    <w:basedOn w:val="1"/>
    <w:link w:val="25"/>
    <w:unhideWhenUsed/>
    <w:uiPriority w:val="99"/>
    <w:rPr>
      <w:rFonts w:ascii="宋体" w:eastAsia="宋体"/>
    </w:rPr>
  </w:style>
  <w:style w:type="paragraph" w:styleId="7">
    <w:name w:val="toc 5"/>
    <w:basedOn w:val="1"/>
    <w:next w:val="1"/>
    <w:unhideWhenUsed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8">
    <w:name w:val="toc 3"/>
    <w:basedOn w:val="1"/>
    <w:next w:val="1"/>
    <w:unhideWhenUsed/>
    <w:uiPriority w:val="39"/>
    <w:pPr>
      <w:tabs>
        <w:tab w:val="left" w:pos="1200"/>
        <w:tab w:val="right" w:leader="dot" w:pos="8290"/>
      </w:tabs>
      <w:spacing w:line="360" w:lineRule="auto"/>
      <w:ind w:left="480"/>
      <w:jc w:val="left"/>
    </w:pPr>
    <w:rPr>
      <w:rFonts w:eastAsiaTheme="minorHAnsi"/>
      <w:sz w:val="22"/>
      <w:szCs w:val="22"/>
    </w:rPr>
  </w:style>
  <w:style w:type="paragraph" w:styleId="9">
    <w:name w:val="toc 8"/>
    <w:basedOn w:val="1"/>
    <w:next w:val="1"/>
    <w:unhideWhenUsed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10">
    <w:name w:val="Balloon Text"/>
    <w:basedOn w:val="1"/>
    <w:link w:val="33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uiPriority w:val="39"/>
    <w:pPr>
      <w:spacing w:before="120"/>
      <w:jc w:val="left"/>
    </w:pPr>
    <w:rPr>
      <w:rFonts w:eastAsiaTheme="minorHAnsi"/>
      <w:b/>
      <w:bCs/>
    </w:rPr>
  </w:style>
  <w:style w:type="paragraph" w:styleId="14">
    <w:name w:val="toc 4"/>
    <w:basedOn w:val="1"/>
    <w:next w:val="1"/>
    <w:unhideWhenUsed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5">
    <w:name w:val="toc 6"/>
    <w:basedOn w:val="1"/>
    <w:next w:val="1"/>
    <w:unhideWhenUsed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6">
    <w:name w:val="toc 2"/>
    <w:basedOn w:val="1"/>
    <w:next w:val="1"/>
    <w:unhideWhenUsed/>
    <w:uiPriority w:val="39"/>
    <w:pPr>
      <w:tabs>
        <w:tab w:val="left" w:pos="720"/>
        <w:tab w:val="right" w:leader="dot" w:pos="8290"/>
      </w:tabs>
      <w:ind w:left="240"/>
      <w:jc w:val="left"/>
    </w:pPr>
    <w:rPr>
      <w:rFonts w:eastAsiaTheme="minorHAnsi"/>
      <w:b/>
      <w:bCs/>
      <w:sz w:val="22"/>
      <w:szCs w:val="22"/>
    </w:rPr>
  </w:style>
  <w:style w:type="paragraph" w:styleId="17">
    <w:name w:val="toc 9"/>
    <w:basedOn w:val="1"/>
    <w:next w:val="1"/>
    <w:unhideWhenUsed/>
    <w:uiPriority w:val="39"/>
    <w:pPr>
      <w:ind w:left="1920"/>
      <w:jc w:val="left"/>
    </w:pPr>
    <w:rPr>
      <w:rFonts w:eastAsiaTheme="minorHAnsi"/>
      <w:sz w:val="20"/>
      <w:szCs w:val="20"/>
    </w:rPr>
  </w:style>
  <w:style w:type="paragraph" w:styleId="18">
    <w:name w:val="Title"/>
    <w:basedOn w:val="1"/>
    <w:next w:val="1"/>
    <w:link w:val="2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1">
    <w:name w:val="page number"/>
    <w:basedOn w:val="20"/>
    <w:unhideWhenUsed/>
    <w:uiPriority w:val="99"/>
  </w:style>
  <w:style w:type="character" w:styleId="22">
    <w:name w:val="Hyperlink"/>
    <w:basedOn w:val="2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字符"/>
    <w:basedOn w:val="20"/>
    <w:link w:val="2"/>
    <w:uiPriority w:val="9"/>
    <w:rPr>
      <w:b/>
      <w:bCs/>
      <w:kern w:val="44"/>
      <w:sz w:val="44"/>
      <w:szCs w:val="4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文档结构图 字符"/>
    <w:basedOn w:val="20"/>
    <w:link w:val="6"/>
    <w:semiHidden/>
    <w:uiPriority w:val="99"/>
    <w:rPr>
      <w:rFonts w:ascii="宋体" w:eastAsia="宋体"/>
    </w:rPr>
  </w:style>
  <w:style w:type="character" w:customStyle="1" w:styleId="26">
    <w:name w:val="页眉 字符"/>
    <w:basedOn w:val="20"/>
    <w:link w:val="12"/>
    <w:uiPriority w:val="99"/>
    <w:rPr>
      <w:sz w:val="18"/>
      <w:szCs w:val="18"/>
    </w:rPr>
  </w:style>
  <w:style w:type="character" w:customStyle="1" w:styleId="27">
    <w:name w:val="页脚 字符"/>
    <w:basedOn w:val="20"/>
    <w:link w:val="11"/>
    <w:uiPriority w:val="99"/>
    <w:rPr>
      <w:sz w:val="18"/>
      <w:szCs w:val="18"/>
    </w:rPr>
  </w:style>
  <w:style w:type="character" w:customStyle="1" w:styleId="28">
    <w:name w:val="标题 字符"/>
    <w:basedOn w:val="20"/>
    <w:link w:val="18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标题 2 字符"/>
    <w:basedOn w:val="2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0">
    <w:name w:val="目录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paragraph" w:customStyle="1" w:styleId="31">
    <w:name w:val="修订1"/>
    <w:hidden/>
    <w:semiHidden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2">
    <w:name w:val="标题 3 字符"/>
    <w:basedOn w:val="20"/>
    <w:link w:val="4"/>
    <w:uiPriority w:val="9"/>
    <w:rPr>
      <w:b/>
      <w:bCs/>
      <w:sz w:val="32"/>
      <w:szCs w:val="32"/>
    </w:rPr>
  </w:style>
  <w:style w:type="character" w:customStyle="1" w:styleId="33">
    <w:name w:val="批注框文本 字符"/>
    <w:basedOn w:val="20"/>
    <w:link w:val="10"/>
    <w:semiHidden/>
    <w:uiPriority w:val="99"/>
    <w:rPr>
      <w:kern w:val="2"/>
      <w:sz w:val="18"/>
      <w:szCs w:val="18"/>
    </w:rPr>
  </w:style>
  <w:style w:type="paragraph" w:customStyle="1" w:styleId="3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tiff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D61592-A1AB-4816-831F-6C35564C03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473</Words>
  <Characters>2699</Characters>
  <Lines>22</Lines>
  <Paragraphs>6</Paragraphs>
  <TotalTime>9</TotalTime>
  <ScaleCrop>false</ScaleCrop>
  <LinksUpToDate>false</LinksUpToDate>
  <CharactersWithSpaces>3166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2019-03-21T06:06:00Z</dcterms:created>
  <dc:creator>未来</dc:creator>
  <cp:lastModifiedBy>乔</cp:lastModifiedBy>
  <dcterms:modified xsi:type="dcterms:W3CDTF">2023-09-28T07:34:56Z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B676314ABD7D4CED8F2C1BD0E75319EB</vt:lpwstr>
  </property>
</Properties>
</file>